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B5" w:rsidRDefault="00AA71B5" w:rsidP="00AA71B5">
      <w:pPr>
        <w:jc w:val="center"/>
        <w:rPr>
          <w:b/>
          <w:sz w:val="44"/>
          <w:szCs w:val="44"/>
        </w:rPr>
      </w:pPr>
      <w:r>
        <w:rPr>
          <w:b/>
          <w:sz w:val="44"/>
          <w:szCs w:val="44"/>
        </w:rPr>
        <w:t>CALVELEY NEIGHBOURHOOD PLAN</w:t>
      </w:r>
    </w:p>
    <w:p w:rsidR="00AA71B5" w:rsidRDefault="00AA71B5" w:rsidP="00AA71B5">
      <w:pPr>
        <w:jc w:val="center"/>
        <w:rPr>
          <w:b/>
          <w:szCs w:val="24"/>
        </w:rPr>
      </w:pPr>
    </w:p>
    <w:p w:rsidR="00AA71B5" w:rsidRDefault="00AA71B5" w:rsidP="00AA71B5">
      <w:pPr>
        <w:jc w:val="center"/>
        <w:rPr>
          <w:b/>
          <w:szCs w:val="24"/>
        </w:rPr>
      </w:pPr>
      <w:r>
        <w:rPr>
          <w:b/>
          <w:szCs w:val="24"/>
        </w:rPr>
        <w:t xml:space="preserve">Clerk: Sue Stockton : </w:t>
      </w:r>
      <w:hyperlink r:id="rId4" w:history="1">
        <w:r w:rsidRPr="00C77875">
          <w:rPr>
            <w:rStyle w:val="Hyperlink"/>
            <w:b/>
            <w:szCs w:val="24"/>
          </w:rPr>
          <w:t>calveleypc@hotmail.co.uk</w:t>
        </w:r>
      </w:hyperlink>
      <w:r>
        <w:rPr>
          <w:b/>
          <w:szCs w:val="24"/>
        </w:rPr>
        <w:t xml:space="preserve"> : 01829 260167</w:t>
      </w:r>
    </w:p>
    <w:p w:rsidR="00AA71B5" w:rsidRPr="00C9071C" w:rsidRDefault="00AA71B5" w:rsidP="00AA71B5">
      <w:pPr>
        <w:jc w:val="center"/>
        <w:rPr>
          <w:b/>
          <w:szCs w:val="24"/>
        </w:rPr>
      </w:pPr>
      <w:r>
        <w:rPr>
          <w:b/>
          <w:szCs w:val="24"/>
        </w:rPr>
        <w:t xml:space="preserve">Website:  </w:t>
      </w:r>
      <w:hyperlink r:id="rId5" w:history="1">
        <w:r w:rsidRPr="00C77875">
          <w:rPr>
            <w:rStyle w:val="Hyperlink"/>
            <w:b/>
            <w:szCs w:val="24"/>
          </w:rPr>
          <w:t>http://calveleycommunitynoticeboard.btck.co.uk</w:t>
        </w:r>
      </w:hyperlink>
      <w:r>
        <w:rPr>
          <w:b/>
          <w:szCs w:val="24"/>
        </w:rPr>
        <w:t xml:space="preserve"> </w:t>
      </w:r>
    </w:p>
    <w:p w:rsidR="00AA71B5" w:rsidRDefault="00AA71B5" w:rsidP="00AA71B5">
      <w:pPr>
        <w:jc w:val="center"/>
        <w:rPr>
          <w:b/>
          <w:sz w:val="32"/>
          <w:szCs w:val="32"/>
        </w:rPr>
      </w:pPr>
    </w:p>
    <w:p w:rsidR="00AA71B5" w:rsidRDefault="00AA71B5" w:rsidP="00AA71B5">
      <w:pPr>
        <w:jc w:val="center"/>
        <w:rPr>
          <w:b/>
          <w:sz w:val="32"/>
          <w:szCs w:val="32"/>
        </w:rPr>
      </w:pPr>
      <w:r>
        <w:rPr>
          <w:b/>
          <w:sz w:val="32"/>
          <w:szCs w:val="32"/>
        </w:rPr>
        <w:t>FEEDBACK FORM</w:t>
      </w:r>
    </w:p>
    <w:p w:rsidR="00AA71B5" w:rsidRDefault="00AA71B5" w:rsidP="00AA71B5">
      <w:pPr>
        <w:jc w:val="center"/>
        <w:rPr>
          <w:b/>
          <w:i/>
          <w:sz w:val="28"/>
          <w:szCs w:val="28"/>
        </w:rPr>
      </w:pPr>
    </w:p>
    <w:p w:rsidR="00AA71B5" w:rsidRPr="00C9071C" w:rsidRDefault="00AA71B5" w:rsidP="00AA71B5">
      <w:pPr>
        <w:jc w:val="center"/>
        <w:rPr>
          <w:b/>
          <w:i/>
          <w:szCs w:val="24"/>
        </w:rPr>
      </w:pPr>
      <w:r w:rsidRPr="00C9071C">
        <w:rPr>
          <w:b/>
          <w:i/>
          <w:szCs w:val="24"/>
        </w:rPr>
        <w:t>Please use this form to tell us whether you support the Policies within the Neighbourhood Plan</w:t>
      </w:r>
    </w:p>
    <w:p w:rsidR="00AA71B5" w:rsidRPr="00C9071C" w:rsidRDefault="00AA71B5" w:rsidP="00AA71B5">
      <w:pPr>
        <w:jc w:val="center"/>
        <w:rPr>
          <w:b/>
          <w:i/>
          <w:szCs w:val="24"/>
        </w:rPr>
      </w:pPr>
    </w:p>
    <w:p w:rsidR="00966655" w:rsidRDefault="00AA71B5" w:rsidP="00AA71B5">
      <w:pPr>
        <w:jc w:val="center"/>
        <w:rPr>
          <w:b/>
          <w:i/>
          <w:color w:val="FF0000"/>
          <w:szCs w:val="24"/>
        </w:rPr>
      </w:pPr>
      <w:r w:rsidRPr="00C9071C">
        <w:rPr>
          <w:b/>
          <w:i/>
          <w:color w:val="FF0000"/>
          <w:szCs w:val="24"/>
        </w:rPr>
        <w:t>Please provide your full contact details, name, address and email address. Responses without this information cannot be considered</w:t>
      </w:r>
    </w:p>
    <w:p w:rsidR="00966655" w:rsidRDefault="00966655" w:rsidP="00AA71B5">
      <w:pPr>
        <w:jc w:val="center"/>
        <w:rPr>
          <w:b/>
          <w:i/>
          <w:color w:val="FF0000"/>
          <w:szCs w:val="24"/>
        </w:rPr>
      </w:pPr>
    </w:p>
    <w:p w:rsidR="00966655" w:rsidRPr="004E5535" w:rsidRDefault="00966655" w:rsidP="00966655">
      <w:pPr>
        <w:jc w:val="center"/>
        <w:rPr>
          <w:b/>
          <w:i/>
          <w:color w:val="FF0000"/>
          <w:szCs w:val="24"/>
        </w:rPr>
      </w:pPr>
      <w:r w:rsidRPr="004E5535">
        <w:rPr>
          <w:rFonts w:ascii="Calibri" w:hAnsi="Calibri"/>
          <w:b/>
          <w:color w:val="FF0000"/>
          <w:sz w:val="22"/>
        </w:rPr>
        <w:t xml:space="preserve">*If you support the </w:t>
      </w:r>
      <w:r>
        <w:rPr>
          <w:rFonts w:ascii="Calibri" w:hAnsi="Calibri"/>
          <w:b/>
          <w:color w:val="FF0000"/>
          <w:sz w:val="22"/>
        </w:rPr>
        <w:t>Policies with C</w:t>
      </w:r>
      <w:r w:rsidRPr="004E5535">
        <w:rPr>
          <w:rFonts w:ascii="Calibri" w:hAnsi="Calibri"/>
          <w:b/>
          <w:color w:val="FF0000"/>
          <w:sz w:val="22"/>
        </w:rPr>
        <w:t>hanges, please explain what those changes are</w:t>
      </w:r>
    </w:p>
    <w:p w:rsidR="00AA71B5" w:rsidRDefault="00AA71B5" w:rsidP="00AA71B5">
      <w:pPr>
        <w:jc w:val="center"/>
        <w:rPr>
          <w:b/>
          <w:i/>
          <w:color w:val="FF0000"/>
          <w:sz w:val="28"/>
          <w:szCs w:val="28"/>
        </w:rPr>
      </w:pPr>
    </w:p>
    <w:tbl>
      <w:tblPr>
        <w:tblStyle w:val="TableGrid"/>
        <w:tblW w:w="0" w:type="auto"/>
        <w:tblLayout w:type="fixed"/>
        <w:tblLook w:val="04A0"/>
      </w:tblPr>
      <w:tblGrid>
        <w:gridCol w:w="945"/>
        <w:gridCol w:w="6393"/>
        <w:gridCol w:w="567"/>
        <w:gridCol w:w="708"/>
        <w:gridCol w:w="629"/>
      </w:tblGrid>
      <w:tr w:rsidR="00AA71B5" w:rsidRPr="00C72C0F" w:rsidTr="00112EE1">
        <w:trPr>
          <w:cantSplit/>
          <w:trHeight w:val="1357"/>
        </w:trPr>
        <w:tc>
          <w:tcPr>
            <w:tcW w:w="945" w:type="dxa"/>
          </w:tcPr>
          <w:p w:rsidR="00AA71B5" w:rsidRPr="00C72C0F" w:rsidRDefault="00AA71B5" w:rsidP="00112EE1">
            <w:pPr>
              <w:jc w:val="center"/>
              <w:rPr>
                <w:b/>
              </w:rPr>
            </w:pPr>
          </w:p>
          <w:p w:rsidR="00AA71B5" w:rsidRPr="00C72C0F" w:rsidRDefault="00AA71B5" w:rsidP="00112EE1">
            <w:pPr>
              <w:jc w:val="center"/>
              <w:rPr>
                <w:b/>
              </w:rPr>
            </w:pPr>
            <w:r w:rsidRPr="00C72C0F">
              <w:rPr>
                <w:b/>
              </w:rPr>
              <w:t>Policy No</w:t>
            </w:r>
          </w:p>
        </w:tc>
        <w:tc>
          <w:tcPr>
            <w:tcW w:w="6393" w:type="dxa"/>
          </w:tcPr>
          <w:p w:rsidR="00AA71B5" w:rsidRPr="00C72C0F" w:rsidRDefault="00AA71B5" w:rsidP="00112EE1">
            <w:pPr>
              <w:jc w:val="center"/>
              <w:rPr>
                <w:b/>
                <w:i/>
              </w:rPr>
            </w:pPr>
          </w:p>
          <w:p w:rsidR="00AA71B5" w:rsidRPr="00C72C0F" w:rsidRDefault="00AA71B5" w:rsidP="00112EE1">
            <w:pPr>
              <w:jc w:val="center"/>
              <w:rPr>
                <w:b/>
                <w:i/>
              </w:rPr>
            </w:pPr>
          </w:p>
          <w:p w:rsidR="00AA71B5" w:rsidRPr="00C72C0F" w:rsidRDefault="00AA71B5" w:rsidP="00112EE1">
            <w:pPr>
              <w:jc w:val="center"/>
              <w:rPr>
                <w:b/>
                <w:i/>
              </w:rPr>
            </w:pPr>
            <w:r w:rsidRPr="00C72C0F">
              <w:rPr>
                <w:b/>
                <w:i/>
              </w:rPr>
              <w:t>Detail</w:t>
            </w:r>
          </w:p>
          <w:p w:rsidR="00AA71B5" w:rsidRPr="00C72C0F" w:rsidRDefault="00AA71B5" w:rsidP="00112EE1">
            <w:pPr>
              <w:jc w:val="center"/>
              <w:rPr>
                <w:b/>
                <w:i/>
              </w:rPr>
            </w:pPr>
          </w:p>
        </w:tc>
        <w:tc>
          <w:tcPr>
            <w:tcW w:w="567" w:type="dxa"/>
            <w:textDirection w:val="tbRl"/>
          </w:tcPr>
          <w:p w:rsidR="00AA71B5" w:rsidRPr="00C72C0F" w:rsidRDefault="00AA71B5" w:rsidP="00112EE1">
            <w:pPr>
              <w:ind w:left="113" w:right="113"/>
              <w:jc w:val="center"/>
              <w:rPr>
                <w:b/>
                <w:i/>
              </w:rPr>
            </w:pPr>
            <w:r w:rsidRPr="00C72C0F">
              <w:rPr>
                <w:b/>
                <w:i/>
              </w:rPr>
              <w:t>Support</w:t>
            </w:r>
          </w:p>
        </w:tc>
        <w:tc>
          <w:tcPr>
            <w:tcW w:w="708" w:type="dxa"/>
            <w:textDirection w:val="tbRl"/>
          </w:tcPr>
          <w:p w:rsidR="00AA71B5" w:rsidRPr="00C72C0F" w:rsidRDefault="00966655" w:rsidP="00112EE1">
            <w:pPr>
              <w:ind w:left="113" w:right="113"/>
              <w:jc w:val="center"/>
              <w:rPr>
                <w:b/>
                <w:i/>
                <w:sz w:val="20"/>
                <w:szCs w:val="20"/>
              </w:rPr>
            </w:pPr>
            <w:r>
              <w:rPr>
                <w:b/>
                <w:i/>
                <w:color w:val="FF0000"/>
                <w:sz w:val="20"/>
                <w:szCs w:val="20"/>
              </w:rPr>
              <w:t>*</w:t>
            </w:r>
            <w:r w:rsidR="00AA71B5" w:rsidRPr="00C72C0F">
              <w:rPr>
                <w:b/>
                <w:i/>
                <w:sz w:val="20"/>
                <w:szCs w:val="20"/>
              </w:rPr>
              <w:t>Support with Changes</w:t>
            </w:r>
          </w:p>
        </w:tc>
        <w:tc>
          <w:tcPr>
            <w:tcW w:w="629" w:type="dxa"/>
            <w:textDirection w:val="tbRl"/>
          </w:tcPr>
          <w:p w:rsidR="00AA71B5" w:rsidRPr="00C72C0F" w:rsidRDefault="00AA71B5" w:rsidP="00112EE1">
            <w:pPr>
              <w:ind w:left="113" w:right="113"/>
              <w:jc w:val="center"/>
              <w:rPr>
                <w:b/>
                <w:i/>
                <w:sz w:val="20"/>
                <w:szCs w:val="20"/>
              </w:rPr>
            </w:pPr>
            <w:r w:rsidRPr="00C72C0F">
              <w:rPr>
                <w:b/>
                <w:i/>
                <w:sz w:val="20"/>
                <w:szCs w:val="20"/>
              </w:rPr>
              <w:t>Do Not Support</w:t>
            </w:r>
          </w:p>
        </w:tc>
      </w:tr>
      <w:tr w:rsidR="00AA71B5" w:rsidRPr="00C72C0F" w:rsidTr="00112EE1">
        <w:trPr>
          <w:cantSplit/>
          <w:trHeight w:val="710"/>
        </w:trPr>
        <w:tc>
          <w:tcPr>
            <w:tcW w:w="945" w:type="dxa"/>
          </w:tcPr>
          <w:p w:rsidR="00AA71B5" w:rsidRPr="00C72C0F" w:rsidRDefault="00AA71B5" w:rsidP="00112EE1">
            <w:pPr>
              <w:jc w:val="center"/>
              <w:rPr>
                <w:b/>
              </w:rPr>
            </w:pPr>
          </w:p>
          <w:p w:rsidR="00AA71B5" w:rsidRPr="00C72C0F" w:rsidRDefault="00AA71B5" w:rsidP="00112EE1">
            <w:pPr>
              <w:jc w:val="center"/>
              <w:rPr>
                <w:b/>
              </w:rPr>
            </w:pPr>
            <w:r w:rsidRPr="00C72C0F">
              <w:rPr>
                <w:b/>
              </w:rPr>
              <w:t>1</w:t>
            </w:r>
          </w:p>
        </w:tc>
        <w:tc>
          <w:tcPr>
            <w:tcW w:w="6393" w:type="dxa"/>
          </w:tcPr>
          <w:p w:rsidR="00AA71B5" w:rsidRPr="00C72C0F" w:rsidRDefault="00AA71B5" w:rsidP="00112EE1">
            <w:pPr>
              <w:rPr>
                <w:b/>
                <w:i/>
              </w:rPr>
            </w:pPr>
          </w:p>
          <w:p w:rsidR="00AA71B5" w:rsidRDefault="00AA71B5" w:rsidP="00112EE1">
            <w:pPr>
              <w:rPr>
                <w:b/>
                <w:i/>
              </w:rPr>
            </w:pPr>
            <w:r w:rsidRPr="00C72C0F">
              <w:rPr>
                <w:b/>
                <w:i/>
              </w:rPr>
              <w:t>Parish Identity</w:t>
            </w:r>
          </w:p>
          <w:p w:rsidR="00AA71B5" w:rsidRPr="00C72C0F" w:rsidRDefault="00AA71B5" w:rsidP="00112EE1">
            <w:pPr>
              <w:rPr>
                <w:i/>
              </w:rPr>
            </w:pP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Pr="00C72C0F" w:rsidRDefault="00AA71B5" w:rsidP="00112EE1">
            <w:pPr>
              <w:jc w:val="center"/>
              <w:rPr>
                <w:b/>
              </w:rPr>
            </w:pPr>
            <w:r>
              <w:rPr>
                <w:b/>
              </w:rPr>
              <w:t>1.1</w:t>
            </w:r>
          </w:p>
        </w:tc>
        <w:tc>
          <w:tcPr>
            <w:tcW w:w="6393" w:type="dxa"/>
          </w:tcPr>
          <w:p w:rsidR="00AA71B5" w:rsidRPr="005B09C0" w:rsidRDefault="00AA71B5" w:rsidP="00112EE1">
            <w:pPr>
              <w:ind w:left="-378"/>
            </w:pPr>
          </w:p>
          <w:p w:rsidR="00AA71B5" w:rsidRPr="005B09C0" w:rsidRDefault="00AA71B5" w:rsidP="00112EE1">
            <w:pPr>
              <w:ind w:left="-378"/>
              <w:rPr>
                <w:i/>
              </w:rPr>
            </w:pPr>
            <w:r w:rsidRPr="005B09C0">
              <w:t xml:space="preserve">        Creating a recognisable centre – adding vitality into the Parish</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1.2</w:t>
            </w:r>
          </w:p>
        </w:tc>
        <w:tc>
          <w:tcPr>
            <w:tcW w:w="6393" w:type="dxa"/>
          </w:tcPr>
          <w:p w:rsidR="00AA71B5" w:rsidRPr="005B09C0" w:rsidRDefault="00AA71B5" w:rsidP="00112EE1">
            <w:pPr>
              <w:ind w:left="-378"/>
            </w:pPr>
          </w:p>
          <w:p w:rsidR="00AA71B5" w:rsidRPr="005B09C0" w:rsidRDefault="00AA71B5" w:rsidP="00112EE1">
            <w:r w:rsidRPr="005B09C0">
              <w:t>The Community Hub – promoting and improving the area around the Chantry as t</w:t>
            </w:r>
            <w:r>
              <w:t>h</w:t>
            </w:r>
            <w:r w:rsidRPr="005B09C0">
              <w:t>e hub of the Community</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1.3</w:t>
            </w:r>
          </w:p>
        </w:tc>
        <w:tc>
          <w:tcPr>
            <w:tcW w:w="6393" w:type="dxa"/>
          </w:tcPr>
          <w:p w:rsidR="00AA71B5" w:rsidRDefault="00AA71B5" w:rsidP="00112EE1">
            <w:pPr>
              <w:ind w:left="48"/>
            </w:pPr>
          </w:p>
          <w:p w:rsidR="00AA71B5" w:rsidRPr="005B09C0" w:rsidRDefault="00AA71B5" w:rsidP="00112EE1">
            <w:pPr>
              <w:ind w:left="48"/>
            </w:pPr>
            <w:r>
              <w:t>Design Guide – reference to the Design Guide to ensure new developments are in harmony and in keeping with the style and nature of the existing</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1.4</w:t>
            </w:r>
          </w:p>
        </w:tc>
        <w:tc>
          <w:tcPr>
            <w:tcW w:w="6393" w:type="dxa"/>
          </w:tcPr>
          <w:p w:rsidR="00AA71B5" w:rsidRDefault="00AA71B5" w:rsidP="00112EE1">
            <w:pPr>
              <w:ind w:left="48"/>
            </w:pPr>
          </w:p>
          <w:p w:rsidR="00AA71B5" w:rsidRDefault="00AA71B5" w:rsidP="00112EE1">
            <w:pPr>
              <w:ind w:left="48"/>
            </w:pPr>
            <w:r>
              <w:t>Canalside Masterplan Aspiration – bringing this potentially attractive site into use for the community</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2</w:t>
            </w:r>
          </w:p>
        </w:tc>
        <w:tc>
          <w:tcPr>
            <w:tcW w:w="6393" w:type="dxa"/>
          </w:tcPr>
          <w:p w:rsidR="00AA71B5" w:rsidRDefault="00AA71B5" w:rsidP="00112EE1">
            <w:pPr>
              <w:ind w:left="48"/>
            </w:pPr>
          </w:p>
          <w:p w:rsidR="00AA71B5" w:rsidRPr="00AB2C44" w:rsidRDefault="00AA71B5" w:rsidP="00112EE1">
            <w:pPr>
              <w:ind w:left="48"/>
              <w:rPr>
                <w:b/>
                <w:i/>
              </w:rPr>
            </w:pPr>
            <w:r w:rsidRPr="00AB2C44">
              <w:rPr>
                <w:b/>
                <w:i/>
              </w:rPr>
              <w:t>Safeguarding Assets</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2.1</w:t>
            </w:r>
          </w:p>
        </w:tc>
        <w:tc>
          <w:tcPr>
            <w:tcW w:w="6393" w:type="dxa"/>
          </w:tcPr>
          <w:p w:rsidR="00AA71B5" w:rsidRDefault="00AA71B5" w:rsidP="00112EE1">
            <w:pPr>
              <w:ind w:left="48"/>
            </w:pPr>
          </w:p>
          <w:p w:rsidR="00AA71B5" w:rsidRDefault="00AA71B5" w:rsidP="00112EE1">
            <w:pPr>
              <w:ind w:left="48"/>
            </w:pPr>
            <w:r>
              <w:t>Protection of Significant Heritage – maintaining and enhancing listed and non-listed buildings and landscape features and ensuring that new buildings are sensitive to their setting.</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2.2</w:t>
            </w:r>
          </w:p>
        </w:tc>
        <w:tc>
          <w:tcPr>
            <w:tcW w:w="6393" w:type="dxa"/>
          </w:tcPr>
          <w:p w:rsidR="00AA71B5" w:rsidRDefault="00AA71B5" w:rsidP="00112EE1">
            <w:pPr>
              <w:ind w:left="48"/>
            </w:pPr>
          </w:p>
          <w:p w:rsidR="00AA71B5" w:rsidRDefault="00AA71B5" w:rsidP="00112EE1">
            <w:pPr>
              <w:ind w:left="48"/>
            </w:pPr>
            <w:r>
              <w:t>Protection of the Natural Environment – ensuring that natural habitats and features that give Calveley it’s unique character are protected.</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112EE1">
        <w:trPr>
          <w:cantSplit/>
          <w:trHeight w:val="751"/>
        </w:trPr>
        <w:tc>
          <w:tcPr>
            <w:tcW w:w="945" w:type="dxa"/>
          </w:tcPr>
          <w:p w:rsidR="00AA71B5" w:rsidRDefault="00AA71B5" w:rsidP="00112EE1">
            <w:pPr>
              <w:jc w:val="center"/>
              <w:rPr>
                <w:b/>
              </w:rPr>
            </w:pPr>
          </w:p>
          <w:p w:rsidR="00AA71B5" w:rsidRDefault="00AA71B5" w:rsidP="00112EE1">
            <w:pPr>
              <w:jc w:val="center"/>
              <w:rPr>
                <w:b/>
              </w:rPr>
            </w:pPr>
            <w:r>
              <w:rPr>
                <w:b/>
              </w:rPr>
              <w:t>2.3</w:t>
            </w:r>
          </w:p>
        </w:tc>
        <w:tc>
          <w:tcPr>
            <w:tcW w:w="6393" w:type="dxa"/>
          </w:tcPr>
          <w:p w:rsidR="00AA71B5" w:rsidRDefault="00AA71B5" w:rsidP="00112EE1">
            <w:pPr>
              <w:ind w:left="48"/>
            </w:pPr>
          </w:p>
          <w:p w:rsidR="00AA71B5" w:rsidRDefault="00AA71B5" w:rsidP="00112EE1">
            <w:pPr>
              <w:ind w:left="48"/>
            </w:pPr>
            <w:r>
              <w:t>Maintaining and Enhancing Views – ensuring that long and short distance views are not spoiled by new developments</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1357"/>
        </w:trPr>
        <w:tc>
          <w:tcPr>
            <w:tcW w:w="945" w:type="dxa"/>
          </w:tcPr>
          <w:p w:rsidR="00AA71B5" w:rsidRPr="00C72C0F" w:rsidRDefault="00AA71B5" w:rsidP="00112EE1">
            <w:pPr>
              <w:jc w:val="center"/>
              <w:rPr>
                <w:b/>
              </w:rPr>
            </w:pPr>
          </w:p>
          <w:p w:rsidR="00AA71B5" w:rsidRPr="00C72C0F" w:rsidRDefault="00AA71B5" w:rsidP="00112EE1">
            <w:pPr>
              <w:jc w:val="center"/>
              <w:rPr>
                <w:b/>
              </w:rPr>
            </w:pPr>
            <w:r w:rsidRPr="00C72C0F">
              <w:rPr>
                <w:b/>
              </w:rPr>
              <w:t>Policy No</w:t>
            </w:r>
          </w:p>
        </w:tc>
        <w:tc>
          <w:tcPr>
            <w:tcW w:w="6393" w:type="dxa"/>
          </w:tcPr>
          <w:p w:rsidR="00AA71B5" w:rsidRPr="00C72C0F" w:rsidRDefault="00AA71B5" w:rsidP="00112EE1">
            <w:pPr>
              <w:jc w:val="center"/>
              <w:rPr>
                <w:b/>
                <w:i/>
              </w:rPr>
            </w:pPr>
          </w:p>
          <w:p w:rsidR="00AA71B5" w:rsidRPr="00C72C0F" w:rsidRDefault="00AA71B5" w:rsidP="00112EE1">
            <w:pPr>
              <w:jc w:val="center"/>
              <w:rPr>
                <w:b/>
                <w:i/>
              </w:rPr>
            </w:pPr>
          </w:p>
          <w:p w:rsidR="00AA71B5" w:rsidRPr="00C72C0F" w:rsidRDefault="00AA71B5" w:rsidP="00112EE1">
            <w:pPr>
              <w:jc w:val="center"/>
              <w:rPr>
                <w:b/>
                <w:i/>
              </w:rPr>
            </w:pPr>
            <w:r w:rsidRPr="00C72C0F">
              <w:rPr>
                <w:b/>
                <w:i/>
              </w:rPr>
              <w:t>Detail</w:t>
            </w:r>
          </w:p>
          <w:p w:rsidR="00AA71B5" w:rsidRPr="00C72C0F" w:rsidRDefault="00AA71B5" w:rsidP="00112EE1">
            <w:pPr>
              <w:jc w:val="center"/>
              <w:rPr>
                <w:b/>
                <w:i/>
              </w:rPr>
            </w:pPr>
          </w:p>
        </w:tc>
        <w:tc>
          <w:tcPr>
            <w:tcW w:w="567" w:type="dxa"/>
            <w:textDirection w:val="tbRl"/>
          </w:tcPr>
          <w:p w:rsidR="00AA71B5" w:rsidRPr="00C72C0F" w:rsidRDefault="00AA71B5" w:rsidP="00112EE1">
            <w:pPr>
              <w:ind w:left="113" w:right="113"/>
              <w:jc w:val="center"/>
              <w:rPr>
                <w:b/>
                <w:i/>
              </w:rPr>
            </w:pPr>
            <w:r w:rsidRPr="00C72C0F">
              <w:rPr>
                <w:b/>
                <w:i/>
              </w:rPr>
              <w:t>Support</w:t>
            </w:r>
          </w:p>
        </w:tc>
        <w:tc>
          <w:tcPr>
            <w:tcW w:w="708" w:type="dxa"/>
            <w:textDirection w:val="tbRl"/>
          </w:tcPr>
          <w:p w:rsidR="00AA71B5" w:rsidRPr="00C72C0F" w:rsidRDefault="00AA71B5" w:rsidP="00112EE1">
            <w:pPr>
              <w:ind w:left="113" w:right="113"/>
              <w:jc w:val="center"/>
              <w:rPr>
                <w:b/>
                <w:i/>
                <w:sz w:val="20"/>
                <w:szCs w:val="20"/>
              </w:rPr>
            </w:pPr>
            <w:r w:rsidRPr="00C72C0F">
              <w:rPr>
                <w:b/>
                <w:i/>
                <w:sz w:val="20"/>
                <w:szCs w:val="20"/>
              </w:rPr>
              <w:t>Support with Changes</w:t>
            </w:r>
          </w:p>
        </w:tc>
        <w:tc>
          <w:tcPr>
            <w:tcW w:w="629" w:type="dxa"/>
            <w:textDirection w:val="tbRl"/>
          </w:tcPr>
          <w:p w:rsidR="00AA71B5" w:rsidRPr="00C72C0F" w:rsidRDefault="00AA71B5" w:rsidP="00112EE1">
            <w:pPr>
              <w:ind w:left="113" w:right="113"/>
              <w:jc w:val="center"/>
              <w:rPr>
                <w:b/>
                <w:i/>
                <w:sz w:val="20"/>
                <w:szCs w:val="20"/>
              </w:rPr>
            </w:pPr>
            <w:r w:rsidRPr="00C72C0F">
              <w:rPr>
                <w:b/>
                <w:i/>
                <w:sz w:val="20"/>
                <w:szCs w:val="20"/>
              </w:rPr>
              <w:t>Do Not Support</w:t>
            </w: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2.4</w:t>
            </w:r>
          </w:p>
        </w:tc>
        <w:tc>
          <w:tcPr>
            <w:tcW w:w="6393" w:type="dxa"/>
          </w:tcPr>
          <w:p w:rsidR="00AA71B5" w:rsidRDefault="00AA71B5" w:rsidP="00112EE1">
            <w:pPr>
              <w:ind w:left="48"/>
            </w:pPr>
          </w:p>
          <w:p w:rsidR="00AA71B5" w:rsidRDefault="00AA71B5" w:rsidP="00112EE1">
            <w:pPr>
              <w:ind w:left="48"/>
            </w:pPr>
            <w:r>
              <w:t>Retaining Agricultural Character – supporting farming and preventing the use of productive farmland as development sites. Resisting industrial development</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3</w:t>
            </w:r>
          </w:p>
        </w:tc>
        <w:tc>
          <w:tcPr>
            <w:tcW w:w="6393" w:type="dxa"/>
          </w:tcPr>
          <w:p w:rsidR="00AA71B5" w:rsidRDefault="00AA71B5" w:rsidP="00112EE1">
            <w:pPr>
              <w:ind w:left="48"/>
            </w:pPr>
          </w:p>
          <w:p w:rsidR="00AA71B5" w:rsidRPr="00AB2C44" w:rsidRDefault="00AA71B5" w:rsidP="00112EE1">
            <w:pPr>
              <w:ind w:left="48"/>
              <w:rPr>
                <w:b/>
                <w:i/>
              </w:rPr>
            </w:pPr>
            <w:r>
              <w:rPr>
                <w:b/>
                <w:i/>
              </w:rPr>
              <w:t>New Development</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3.1</w:t>
            </w:r>
          </w:p>
        </w:tc>
        <w:tc>
          <w:tcPr>
            <w:tcW w:w="6393" w:type="dxa"/>
          </w:tcPr>
          <w:p w:rsidR="00AA71B5" w:rsidRDefault="00AA71B5" w:rsidP="00112EE1">
            <w:pPr>
              <w:ind w:left="48"/>
            </w:pPr>
          </w:p>
          <w:p w:rsidR="00AA71B5" w:rsidRDefault="00AA71B5" w:rsidP="00112EE1">
            <w:pPr>
              <w:ind w:left="48"/>
            </w:pPr>
            <w:r>
              <w:t>Local Needs and Requirements – improving access and enjoyment of the environment whilst protecting against development that spoils the landscape character</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3.2</w:t>
            </w:r>
          </w:p>
        </w:tc>
        <w:tc>
          <w:tcPr>
            <w:tcW w:w="6393" w:type="dxa"/>
          </w:tcPr>
          <w:p w:rsidR="00AA71B5" w:rsidRDefault="00AA71B5" w:rsidP="00112EE1">
            <w:pPr>
              <w:ind w:left="48"/>
            </w:pPr>
          </w:p>
          <w:p w:rsidR="00AA71B5" w:rsidRDefault="00AA71B5" w:rsidP="00112EE1">
            <w:pPr>
              <w:ind w:left="48"/>
            </w:pPr>
            <w:r>
              <w:t>Potential Development – only providing housing types suitable for local needs</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3.3</w:t>
            </w:r>
          </w:p>
        </w:tc>
        <w:tc>
          <w:tcPr>
            <w:tcW w:w="6393" w:type="dxa"/>
          </w:tcPr>
          <w:p w:rsidR="00AA71B5" w:rsidRDefault="00AA71B5" w:rsidP="00112EE1">
            <w:pPr>
              <w:ind w:left="48"/>
            </w:pPr>
          </w:p>
          <w:p w:rsidR="00AA71B5" w:rsidRDefault="00AA71B5" w:rsidP="00112EE1">
            <w:pPr>
              <w:ind w:left="48"/>
            </w:pPr>
            <w:r>
              <w:t>Allocation of Key Sites – concentrating new housing in and around the village area and re-drawing the settlement boundary to support this</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3.4</w:t>
            </w:r>
          </w:p>
        </w:tc>
        <w:tc>
          <w:tcPr>
            <w:tcW w:w="6393" w:type="dxa"/>
          </w:tcPr>
          <w:p w:rsidR="00AA71B5" w:rsidRDefault="00AA71B5" w:rsidP="00112EE1">
            <w:pPr>
              <w:ind w:left="48"/>
            </w:pPr>
          </w:p>
          <w:p w:rsidR="00AA71B5" w:rsidRDefault="00AA71B5" w:rsidP="00112EE1">
            <w:pPr>
              <w:ind w:left="48"/>
            </w:pPr>
            <w:r>
              <w:t>Ancillary Housing Sites – permitting limited modest new homes on infill sites to provide retirement or starter homes and not on existing agricultural land.</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4</w:t>
            </w:r>
          </w:p>
        </w:tc>
        <w:tc>
          <w:tcPr>
            <w:tcW w:w="6393" w:type="dxa"/>
          </w:tcPr>
          <w:p w:rsidR="00AA71B5" w:rsidRDefault="00AA71B5" w:rsidP="00112EE1">
            <w:pPr>
              <w:ind w:left="48"/>
            </w:pPr>
          </w:p>
          <w:p w:rsidR="00AA71B5" w:rsidRPr="00AB2C44" w:rsidRDefault="00AA71B5" w:rsidP="00112EE1">
            <w:pPr>
              <w:ind w:left="48"/>
              <w:rPr>
                <w:b/>
                <w:i/>
              </w:rPr>
            </w:pPr>
            <w:r>
              <w:rPr>
                <w:b/>
                <w:i/>
              </w:rPr>
              <w:t>Transport and Movement</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4.1</w:t>
            </w:r>
          </w:p>
        </w:tc>
        <w:tc>
          <w:tcPr>
            <w:tcW w:w="6393" w:type="dxa"/>
          </w:tcPr>
          <w:p w:rsidR="00AA71B5" w:rsidRDefault="00AA71B5" w:rsidP="00112EE1">
            <w:pPr>
              <w:ind w:left="48"/>
            </w:pPr>
          </w:p>
          <w:p w:rsidR="00AA71B5" w:rsidRDefault="00AA71B5" w:rsidP="00112EE1">
            <w:pPr>
              <w:ind w:left="48"/>
            </w:pPr>
            <w:r>
              <w:t>Pedestrian Accessibility – improving footpath, country lanes and ensuring safe access for all including pedestrians crossing the A51</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4.2</w:t>
            </w:r>
          </w:p>
        </w:tc>
        <w:tc>
          <w:tcPr>
            <w:tcW w:w="6393" w:type="dxa"/>
          </w:tcPr>
          <w:p w:rsidR="00AA71B5" w:rsidRDefault="00AA71B5" w:rsidP="00112EE1">
            <w:pPr>
              <w:ind w:left="48"/>
            </w:pPr>
          </w:p>
          <w:p w:rsidR="00AA71B5" w:rsidRDefault="00AA71B5" w:rsidP="00112EE1">
            <w:pPr>
              <w:ind w:left="48"/>
            </w:pPr>
            <w:r>
              <w:t>Highways and Traffic – preventing development that adds to the amount of traffic on country lanes and the A51</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r w:rsidR="00AA71B5" w:rsidRPr="00C72C0F" w:rsidTr="00AA71B5">
        <w:trPr>
          <w:trHeight w:val="751"/>
        </w:trPr>
        <w:tc>
          <w:tcPr>
            <w:tcW w:w="945" w:type="dxa"/>
          </w:tcPr>
          <w:p w:rsidR="00AA71B5" w:rsidRDefault="00AA71B5" w:rsidP="00112EE1">
            <w:pPr>
              <w:jc w:val="center"/>
              <w:rPr>
                <w:b/>
              </w:rPr>
            </w:pPr>
          </w:p>
          <w:p w:rsidR="00AA71B5" w:rsidRDefault="00AA71B5" w:rsidP="00112EE1">
            <w:pPr>
              <w:jc w:val="center"/>
              <w:rPr>
                <w:b/>
              </w:rPr>
            </w:pPr>
            <w:r>
              <w:rPr>
                <w:b/>
              </w:rPr>
              <w:t>4.3</w:t>
            </w:r>
          </w:p>
        </w:tc>
        <w:tc>
          <w:tcPr>
            <w:tcW w:w="6393" w:type="dxa"/>
          </w:tcPr>
          <w:p w:rsidR="00AA71B5" w:rsidRDefault="00AA71B5" w:rsidP="00112EE1">
            <w:pPr>
              <w:ind w:left="48"/>
            </w:pPr>
          </w:p>
          <w:p w:rsidR="00AA71B5" w:rsidRDefault="00AA71B5" w:rsidP="00112EE1">
            <w:pPr>
              <w:ind w:left="48"/>
            </w:pPr>
            <w:r>
              <w:t>Safeguarding Verges and the Country Lanes – avoiding parking on the country lanes and protecting green verges</w:t>
            </w:r>
          </w:p>
        </w:tc>
        <w:tc>
          <w:tcPr>
            <w:tcW w:w="567" w:type="dxa"/>
            <w:textDirection w:val="tbRl"/>
          </w:tcPr>
          <w:p w:rsidR="00AA71B5" w:rsidRPr="00C72C0F" w:rsidRDefault="00AA71B5" w:rsidP="00112EE1">
            <w:pPr>
              <w:ind w:left="113" w:right="113"/>
              <w:jc w:val="center"/>
              <w:rPr>
                <w:b/>
                <w:i/>
              </w:rPr>
            </w:pPr>
          </w:p>
        </w:tc>
        <w:tc>
          <w:tcPr>
            <w:tcW w:w="708" w:type="dxa"/>
            <w:textDirection w:val="tbRl"/>
          </w:tcPr>
          <w:p w:rsidR="00AA71B5" w:rsidRPr="00C72C0F" w:rsidRDefault="00AA71B5" w:rsidP="00112EE1">
            <w:pPr>
              <w:ind w:left="113" w:right="113"/>
              <w:jc w:val="center"/>
              <w:rPr>
                <w:b/>
                <w:i/>
                <w:sz w:val="20"/>
                <w:szCs w:val="20"/>
              </w:rPr>
            </w:pPr>
          </w:p>
        </w:tc>
        <w:tc>
          <w:tcPr>
            <w:tcW w:w="629" w:type="dxa"/>
            <w:textDirection w:val="tbRl"/>
          </w:tcPr>
          <w:p w:rsidR="00AA71B5" w:rsidRPr="00C72C0F" w:rsidRDefault="00AA71B5" w:rsidP="00112EE1">
            <w:pPr>
              <w:ind w:left="113" w:right="113"/>
              <w:jc w:val="center"/>
              <w:rPr>
                <w:b/>
                <w:i/>
                <w:sz w:val="20"/>
                <w:szCs w:val="20"/>
              </w:rPr>
            </w:pPr>
          </w:p>
        </w:tc>
      </w:tr>
    </w:tbl>
    <w:p w:rsidR="00744B53" w:rsidRDefault="00285A59"/>
    <w:p w:rsidR="00AA71B5" w:rsidRDefault="00AA71B5" w:rsidP="00AA71B5">
      <w:pPr>
        <w:jc w:val="both"/>
        <w:rPr>
          <w:b/>
          <w:i/>
          <w:sz w:val="28"/>
          <w:szCs w:val="28"/>
        </w:rPr>
      </w:pPr>
      <w:r>
        <w:rPr>
          <w:b/>
          <w:i/>
          <w:sz w:val="28"/>
          <w:szCs w:val="28"/>
        </w:rPr>
        <w:t xml:space="preserve">Overall : Your views regarding the draft Neighbourhood Plan for Calveley will be very much appreciated.  If you have any comments please provide them on the back of this page and return to the Neighbourhood Plan Group in the envelope provided – Please also ensure that you complete the Box below otherwise your comments cannot be used </w:t>
      </w:r>
    </w:p>
    <w:p w:rsidR="00AA71B5" w:rsidRDefault="00A02FBB" w:rsidP="00AA71B5">
      <w:pPr>
        <w:jc w:val="center"/>
        <w:rPr>
          <w:b/>
          <w:i/>
          <w:sz w:val="28"/>
          <w:szCs w:val="28"/>
        </w:rPr>
      </w:pPr>
      <w:r>
        <w:rPr>
          <w:b/>
          <w:i/>
          <w:noProof/>
          <w:sz w:val="28"/>
          <w:szCs w:val="28"/>
          <w:lang w:eastAsia="en-GB"/>
        </w:rPr>
        <w:pict>
          <v:shapetype id="_x0000_t202" coordsize="21600,21600" o:spt="202" path="m,l,21600r21600,l21600,xe">
            <v:stroke joinstyle="miter"/>
            <v:path gradientshapeok="t" o:connecttype="rect"/>
          </v:shapetype>
          <v:shape id="_x0000_s1026" type="#_x0000_t202" style="position:absolute;left:0;text-align:left;margin-left:5.4pt;margin-top:9.35pt;width:443.25pt;height:1in;z-index:251660288" strokeweight="1.5pt">
            <v:textbox style="mso-next-textbox:#_x0000_s1026">
              <w:txbxContent>
                <w:p w:rsidR="00AA71B5" w:rsidRPr="006009C6" w:rsidRDefault="00AA71B5" w:rsidP="00AA71B5">
                  <w:pPr>
                    <w:rPr>
                      <w:b/>
                      <w:color w:val="FF0000"/>
                    </w:rPr>
                  </w:pPr>
                  <w:r w:rsidRPr="006009C6">
                    <w:rPr>
                      <w:b/>
                      <w:color w:val="FF0000"/>
                    </w:rPr>
                    <w:t>Your Name</w:t>
                  </w:r>
                  <w:r>
                    <w:rPr>
                      <w:b/>
                      <w:color w:val="FF0000"/>
                    </w:rPr>
                    <w:t>**</w:t>
                  </w:r>
                </w:p>
                <w:p w:rsidR="00AA71B5" w:rsidRPr="006009C6" w:rsidRDefault="00AA71B5" w:rsidP="00AA71B5">
                  <w:pPr>
                    <w:rPr>
                      <w:b/>
                      <w:color w:val="FF0000"/>
                    </w:rPr>
                  </w:pPr>
                  <w:r>
                    <w:rPr>
                      <w:b/>
                      <w:color w:val="FF0000"/>
                    </w:rPr>
                    <w:t>Your Address**</w:t>
                  </w:r>
                </w:p>
                <w:p w:rsidR="00AA71B5" w:rsidRDefault="00AA71B5" w:rsidP="00AA71B5">
                  <w:pPr>
                    <w:rPr>
                      <w:b/>
                      <w:color w:val="FF0000"/>
                    </w:rPr>
                  </w:pPr>
                  <w:r>
                    <w:rPr>
                      <w:b/>
                      <w:color w:val="FF0000"/>
                    </w:rPr>
                    <w:t>Your Email address**</w:t>
                  </w:r>
                </w:p>
                <w:p w:rsidR="00AA71B5" w:rsidRPr="006009C6" w:rsidRDefault="00AA71B5" w:rsidP="00AA71B5">
                  <w:pPr>
                    <w:jc w:val="center"/>
                    <w:rPr>
                      <w:b/>
                      <w:color w:val="FF0000"/>
                    </w:rPr>
                  </w:pPr>
                  <w:r>
                    <w:rPr>
                      <w:b/>
                      <w:color w:val="FF0000"/>
                    </w:rPr>
                    <w:t>**THIS BOX MUST BE FULLY COMPLETED FOR YOUR VIEWS TO COUNT</w:t>
                  </w:r>
                </w:p>
              </w:txbxContent>
            </v:textbox>
          </v:shape>
        </w:pict>
      </w:r>
    </w:p>
    <w:p w:rsidR="00AA71B5" w:rsidRDefault="00AA71B5" w:rsidP="00AA71B5">
      <w:pPr>
        <w:jc w:val="center"/>
        <w:rPr>
          <w:b/>
          <w:i/>
          <w:sz w:val="28"/>
          <w:szCs w:val="28"/>
        </w:rPr>
      </w:pPr>
    </w:p>
    <w:p w:rsidR="00AA71B5" w:rsidRDefault="00AA71B5"/>
    <w:sectPr w:rsidR="00AA71B5" w:rsidSect="00966655">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71B5"/>
    <w:rsid w:val="000944E5"/>
    <w:rsid w:val="00155BCD"/>
    <w:rsid w:val="00181F78"/>
    <w:rsid w:val="001A510E"/>
    <w:rsid w:val="00285A59"/>
    <w:rsid w:val="0042251E"/>
    <w:rsid w:val="004C0811"/>
    <w:rsid w:val="004E72B0"/>
    <w:rsid w:val="005062D7"/>
    <w:rsid w:val="00520208"/>
    <w:rsid w:val="0054253C"/>
    <w:rsid w:val="006308AA"/>
    <w:rsid w:val="008E31CF"/>
    <w:rsid w:val="008E7E86"/>
    <w:rsid w:val="00966655"/>
    <w:rsid w:val="00983C5A"/>
    <w:rsid w:val="009907C9"/>
    <w:rsid w:val="00A02FBB"/>
    <w:rsid w:val="00AA71B5"/>
    <w:rsid w:val="00AF0667"/>
    <w:rsid w:val="00B13660"/>
    <w:rsid w:val="00C06DBD"/>
    <w:rsid w:val="00DD1220"/>
    <w:rsid w:val="00E25C7C"/>
    <w:rsid w:val="00F05C3F"/>
    <w:rsid w:val="00F978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B5"/>
    <w:pPr>
      <w:spacing w:after="0"/>
    </w:pPr>
    <w:rPr>
      <w:sz w:val="24"/>
    </w:rPr>
  </w:style>
  <w:style w:type="paragraph" w:styleId="Heading1">
    <w:name w:val="heading 1"/>
    <w:basedOn w:val="Normal"/>
    <w:next w:val="Normal"/>
    <w:link w:val="Heading1Char"/>
    <w:uiPriority w:val="9"/>
    <w:qFormat/>
    <w:rsid w:val="00F97829"/>
    <w:pPr>
      <w:keepNext/>
      <w:keepLines/>
      <w:spacing w:before="480"/>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97829"/>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2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97829"/>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A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7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lveleycommunitynoticeboard.btck.co.uk" TargetMode="External"/><Relationship Id="rId4" Type="http://schemas.openxmlformats.org/officeDocument/2006/relationships/hyperlink" Target="mailto:calveleyp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Company>Grizli777</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2</dc:creator>
  <cp:lastModifiedBy>HOME PC</cp:lastModifiedBy>
  <cp:revision>2</cp:revision>
  <dcterms:created xsi:type="dcterms:W3CDTF">2017-12-09T12:48:00Z</dcterms:created>
  <dcterms:modified xsi:type="dcterms:W3CDTF">2017-12-09T12:48:00Z</dcterms:modified>
</cp:coreProperties>
</file>